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1" w:rsidRDefault="00B41F91" w:rsidP="00B41F91">
      <w:pPr>
        <w:rPr>
          <w:sz w:val="24"/>
          <w:szCs w:val="24"/>
          <w:vertAlign w:val="baseline"/>
        </w:rPr>
      </w:pPr>
      <w:bookmarkStart w:id="0" w:name="_GoBack"/>
      <w:bookmarkEnd w:id="0"/>
    </w:p>
    <w:p w:rsidR="00B41F91" w:rsidRDefault="00B41F91" w:rsidP="00B41F91">
      <w:pPr>
        <w:shd w:val="clear" w:color="auto" w:fill="FFFFFF"/>
        <w:spacing w:after="240"/>
        <w:jc w:val="center"/>
        <w:rPr>
          <w:b/>
          <w:bCs/>
          <w:sz w:val="24"/>
          <w:szCs w:val="28"/>
          <w:vertAlign w:val="baseline"/>
        </w:rPr>
      </w:pPr>
      <w:r>
        <w:rPr>
          <w:b/>
          <w:bCs/>
          <w:sz w:val="24"/>
          <w:szCs w:val="28"/>
          <w:vertAlign w:val="baseline"/>
        </w:rPr>
        <w:t>ЗАДАНИЕ НА РАЗРАБОТКУ РАБОЧЕЙ ДОКУМЕНТАЦИИ</w:t>
      </w:r>
    </w:p>
    <w:p w:rsidR="00B41F91" w:rsidRDefault="00B41F91" w:rsidP="00B41F91">
      <w:pPr>
        <w:jc w:val="center"/>
        <w:rPr>
          <w:sz w:val="24"/>
          <w:szCs w:val="28"/>
          <w:shd w:val="clear" w:color="auto" w:fill="FFFFFF"/>
          <w:vertAlign w:val="baseline"/>
        </w:rPr>
      </w:pPr>
      <w:r>
        <w:rPr>
          <w:sz w:val="24"/>
          <w:szCs w:val="28"/>
          <w:shd w:val="clear" w:color="auto" w:fill="FFFFFF"/>
          <w:vertAlign w:val="baseline"/>
        </w:rPr>
        <w:t xml:space="preserve">на Реконструкцию улицы </w:t>
      </w:r>
      <w:proofErr w:type="gramStart"/>
      <w:r>
        <w:rPr>
          <w:sz w:val="24"/>
          <w:szCs w:val="28"/>
          <w:shd w:val="clear" w:color="auto" w:fill="FFFFFF"/>
          <w:vertAlign w:val="baseline"/>
        </w:rPr>
        <w:t>Московская</w:t>
      </w:r>
      <w:proofErr w:type="gramEnd"/>
      <w:r>
        <w:rPr>
          <w:sz w:val="24"/>
          <w:szCs w:val="28"/>
          <w:shd w:val="clear" w:color="auto" w:fill="FFFFFF"/>
          <w:vertAlign w:val="baseline"/>
        </w:rPr>
        <w:t xml:space="preserve"> от улицы </w:t>
      </w:r>
      <w:proofErr w:type="spellStart"/>
      <w:r>
        <w:rPr>
          <w:sz w:val="24"/>
          <w:szCs w:val="28"/>
          <w:shd w:val="clear" w:color="auto" w:fill="FFFFFF"/>
          <w:vertAlign w:val="baseline"/>
        </w:rPr>
        <w:t>Хасановская</w:t>
      </w:r>
      <w:proofErr w:type="spellEnd"/>
      <w:r>
        <w:rPr>
          <w:sz w:val="24"/>
          <w:szCs w:val="28"/>
          <w:shd w:val="clear" w:color="auto" w:fill="FFFFFF"/>
          <w:vertAlign w:val="baseline"/>
        </w:rPr>
        <w:t xml:space="preserve"> до бульвара Денисова-Уральского со строительством транспортной развязки в разных уровнях на пересечении улиц Московская-Щорса-Амундсена в г. Екатеринбурге»</w:t>
      </w:r>
    </w:p>
    <w:p w:rsidR="00B41F91" w:rsidRDefault="00B41F91" w:rsidP="00B41F91">
      <w:pPr>
        <w:rPr>
          <w:sz w:val="24"/>
          <w:szCs w:val="24"/>
          <w:vertAlign w:val="baseline"/>
        </w:rPr>
      </w:pPr>
    </w:p>
    <w:tbl>
      <w:tblPr>
        <w:tblStyle w:val="a5"/>
        <w:tblW w:w="10207" w:type="dxa"/>
        <w:tblInd w:w="250" w:type="dxa"/>
        <w:tblLook w:val="04A0" w:firstRow="1" w:lastRow="0" w:firstColumn="1" w:lastColumn="0" w:noHBand="0" w:noVBand="1"/>
      </w:tblPr>
      <w:tblGrid>
        <w:gridCol w:w="540"/>
        <w:gridCol w:w="3288"/>
        <w:gridCol w:w="6379"/>
      </w:tblGrid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 xml:space="preserve">№ </w:t>
            </w:r>
            <w:proofErr w:type="gramStart"/>
            <w:r>
              <w:rPr>
                <w:sz w:val="24"/>
                <w:szCs w:val="28"/>
                <w:shd w:val="clear" w:color="auto" w:fill="FFFFFF"/>
                <w:vertAlign w:val="baseline"/>
              </w:rPr>
              <w:t>п</w:t>
            </w:r>
            <w:proofErr w:type="gramEnd"/>
            <w:r>
              <w:rPr>
                <w:sz w:val="24"/>
                <w:szCs w:val="28"/>
                <w:shd w:val="clear" w:color="auto" w:fill="FFFFFF"/>
                <w:vertAlign w:val="baseline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Перечень основных требований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Содержание требований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1" w:rsidRDefault="00B41F91" w:rsidP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Муниципальный З</w:t>
            </w:r>
            <w:r>
              <w:rPr>
                <w:sz w:val="24"/>
                <w:szCs w:val="28"/>
                <w:shd w:val="clear" w:color="auto" w:fill="FFFFFF"/>
                <w:vertAlign w:val="baseline"/>
              </w:rPr>
              <w:t>аказчик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Муниципальное казенное учреждение «Управление капитального строительства города Екатеринбурга»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91" w:rsidRDefault="00B41F91" w:rsidP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Генеральный подрядчик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Общество с ограниченной ответственностью «Городское управление дорожно-строительных работ»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 xml:space="preserve">Вид строительства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Реконструкция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Стадийность проектирования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Рабочая документация (Р)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Характеристика строительной площадки. Границы проектирования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Город Екатеринбург, улица Московская от ул. </w:t>
            </w:r>
            <w:proofErr w:type="spellStart"/>
            <w:r>
              <w:rPr>
                <w:sz w:val="24"/>
                <w:szCs w:val="24"/>
                <w:vertAlign w:val="baseline"/>
              </w:rPr>
              <w:t>Хасановская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до бульвара Денисова-Уральского протяженность 1908 м (ориентировочно); Границы проектирования принять на основании разработанной проектной документации стадии </w:t>
            </w:r>
            <w:proofErr w:type="gramStart"/>
            <w:r>
              <w:rPr>
                <w:sz w:val="24"/>
                <w:szCs w:val="24"/>
                <w:vertAlign w:val="baseline"/>
              </w:rPr>
              <w:t>П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по объекту </w:t>
            </w:r>
            <w:r>
              <w:rPr>
                <w:sz w:val="24"/>
                <w:szCs w:val="24"/>
                <w:shd w:val="clear" w:color="auto" w:fill="FFFFFF"/>
                <w:vertAlign w:val="baseline"/>
              </w:rPr>
              <w:t xml:space="preserve">«Реконструкция улицы Московская от улицы </w:t>
            </w:r>
            <w:proofErr w:type="spellStart"/>
            <w:r>
              <w:rPr>
                <w:sz w:val="24"/>
                <w:szCs w:val="24"/>
                <w:shd w:val="clear" w:color="auto" w:fill="FFFFFF"/>
                <w:vertAlign w:val="baseline"/>
              </w:rPr>
              <w:t>Хасановская</w:t>
            </w:r>
            <w:proofErr w:type="spellEnd"/>
            <w:r>
              <w:rPr>
                <w:sz w:val="24"/>
                <w:szCs w:val="24"/>
                <w:shd w:val="clear" w:color="auto" w:fill="FFFFFF"/>
                <w:vertAlign w:val="baseline"/>
              </w:rPr>
              <w:t xml:space="preserve"> до бульвара Денисова-Уральского со строительством транспортной развязки в разных уровнях на пересечении улиц Московская-Щорса-Амундсена в г. Екатеринбурге» (шифр 0214-00, выполнено ООО «СТРИТ» 2015г, </w:t>
            </w:r>
            <w:r>
              <w:rPr>
                <w:sz w:val="24"/>
                <w:szCs w:val="24"/>
                <w:vertAlign w:val="baseline"/>
              </w:rPr>
              <w:t xml:space="preserve">положительное заключение государственной </w:t>
            </w:r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экспертизы № 66-1-5-0231-15/15-0183-1). 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В рабочей документации предусмотреть следующие этапы строительства: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u w:val="single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vertAlign w:val="baseline"/>
              </w:rPr>
              <w:t>1 этап строительства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vertAlign w:val="baseline"/>
              </w:rPr>
              <w:t>ул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baseline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  <w:vertAlign w:val="baseline"/>
              </w:rPr>
              <w:t>осковская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 от </w:t>
            </w:r>
            <w:proofErr w:type="spellStart"/>
            <w:r>
              <w:rPr>
                <w:color w:val="000000" w:themeColor="text1"/>
                <w:sz w:val="24"/>
                <w:szCs w:val="24"/>
                <w:vertAlign w:val="baseline"/>
              </w:rPr>
              <w:t>ул.Хасановская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 до </w:t>
            </w:r>
            <w:proofErr w:type="spellStart"/>
            <w:r>
              <w:rPr>
                <w:color w:val="000000" w:themeColor="text1"/>
                <w:sz w:val="24"/>
                <w:szCs w:val="24"/>
                <w:vertAlign w:val="baseline"/>
              </w:rPr>
              <w:t>пер.Арамильский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 (строительство улиц местного значения: Советских женщин, Айвазовского, </w:t>
            </w:r>
            <w:proofErr w:type="spellStart"/>
            <w:r>
              <w:rPr>
                <w:color w:val="000000" w:themeColor="text1"/>
                <w:sz w:val="24"/>
                <w:szCs w:val="24"/>
                <w:vertAlign w:val="baseline"/>
              </w:rPr>
              <w:t>пер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baseline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  <w:vertAlign w:val="baseline"/>
              </w:rPr>
              <w:t>епутатский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vertAlign w:val="baseline"/>
              </w:rPr>
              <w:t>пер.Арамилький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baseline"/>
              </w:rPr>
              <w:t>).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u w:val="single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vertAlign w:val="baseline"/>
              </w:rPr>
              <w:t>2 этап строительства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перекресток улиц 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baseline"/>
              </w:rPr>
              <w:t>Щорса-Московская</w:t>
            </w:r>
            <w:proofErr w:type="gramEnd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 со стороны переулка </w:t>
            </w:r>
            <w:proofErr w:type="spellStart"/>
            <w:r>
              <w:rPr>
                <w:color w:val="000000" w:themeColor="text1"/>
                <w:sz w:val="24"/>
                <w:szCs w:val="24"/>
                <w:vertAlign w:val="baseline"/>
              </w:rPr>
              <w:t>Арамильский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baseline"/>
              </w:rPr>
              <w:t>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u w:val="single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vertAlign w:val="baseline"/>
              </w:rPr>
              <w:t>3 этап строительства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vertAlign w:val="baseline"/>
              </w:rPr>
              <w:t>ул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baseline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  <w:vertAlign w:val="baseline"/>
              </w:rPr>
              <w:t>осковская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 от переулка </w:t>
            </w:r>
            <w:proofErr w:type="spellStart"/>
            <w:r>
              <w:rPr>
                <w:color w:val="000000" w:themeColor="text1"/>
                <w:sz w:val="24"/>
                <w:szCs w:val="24"/>
                <w:vertAlign w:val="baseline"/>
              </w:rPr>
              <w:t>Арамильский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 до бульвара Денисова-Уральского.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При необходимости границы проектирования уточнить при выполнении рабочей документации.</w:t>
            </w:r>
          </w:p>
          <w:p w:rsidR="00B41F91" w:rsidRDefault="00B41F91">
            <w:pPr>
              <w:rPr>
                <w:color w:val="000000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Ул. Московска</w:t>
            </w:r>
            <w:proofErr w:type="gramStart"/>
            <w:r>
              <w:rPr>
                <w:sz w:val="24"/>
                <w:szCs w:val="24"/>
                <w:vertAlign w:val="baseline"/>
              </w:rPr>
              <w:t>я-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baseline"/>
              </w:rPr>
              <w:t>магистральная улица общегородского значения регулируемого движения.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4"/>
                <w:vertAlign w:val="baseline"/>
              </w:rPr>
              <w:t>Ул. Щорса-Амундсен</w:t>
            </w:r>
            <w:proofErr w:type="gramStart"/>
            <w:r>
              <w:rPr>
                <w:color w:val="000000"/>
                <w:sz w:val="24"/>
                <w:szCs w:val="24"/>
                <w:vertAlign w:val="baseline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vertAlign w:val="baseline"/>
              </w:rPr>
              <w:t xml:space="preserve"> </w:t>
            </w:r>
            <w:r>
              <w:rPr>
                <w:color w:val="000000"/>
                <w:sz w:val="24"/>
                <w:szCs w:val="28"/>
                <w:vertAlign w:val="baseline"/>
              </w:rPr>
              <w:t>магистральная улица районного значения.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Ул. Шаумян</w:t>
            </w:r>
            <w:proofErr w:type="gramStart"/>
            <w:r>
              <w:rPr>
                <w:sz w:val="24"/>
                <w:szCs w:val="24"/>
                <w:vertAlign w:val="baseline"/>
              </w:rPr>
              <w:t>а-</w:t>
            </w:r>
            <w:proofErr w:type="gramEnd"/>
            <w:r>
              <w:rPr>
                <w:color w:val="000000"/>
                <w:sz w:val="24"/>
                <w:szCs w:val="28"/>
                <w:vertAlign w:val="baseline"/>
              </w:rPr>
              <w:t xml:space="preserve"> магистральная улица районного значения.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Ул. Айвазовског</w:t>
            </w:r>
            <w:proofErr w:type="gramStart"/>
            <w:r>
              <w:rPr>
                <w:sz w:val="24"/>
                <w:szCs w:val="24"/>
                <w:vertAlign w:val="baseline"/>
              </w:rPr>
              <w:t>о-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color w:val="000000"/>
                <w:sz w:val="24"/>
                <w:szCs w:val="28"/>
                <w:vertAlign w:val="baseline"/>
              </w:rPr>
              <w:t>магистральная улица районного значения.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 xml:space="preserve">Ул. Советских Женщин – улица в жилой застройке. 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Ул. Депутатская - </w:t>
            </w:r>
            <w:r>
              <w:rPr>
                <w:color w:val="000000"/>
                <w:sz w:val="24"/>
                <w:szCs w:val="28"/>
                <w:vertAlign w:val="baseline"/>
              </w:rPr>
              <w:t>улица в жилой застройке.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Переулок </w:t>
            </w:r>
            <w:proofErr w:type="spellStart"/>
            <w:r>
              <w:rPr>
                <w:sz w:val="24"/>
                <w:szCs w:val="24"/>
                <w:vertAlign w:val="baseline"/>
              </w:rPr>
              <w:t>Арамильски</w:t>
            </w:r>
            <w:proofErr w:type="gramStart"/>
            <w:r>
              <w:rPr>
                <w:sz w:val="24"/>
                <w:szCs w:val="24"/>
                <w:vertAlign w:val="baseline"/>
              </w:rPr>
              <w:t>й</w:t>
            </w:r>
            <w:proofErr w:type="spellEnd"/>
            <w:r>
              <w:rPr>
                <w:sz w:val="24"/>
                <w:szCs w:val="24"/>
                <w:vertAlign w:val="baseline"/>
              </w:rPr>
              <w:t>-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улица в жилой застройке.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Основные технико-</w:t>
            </w:r>
            <w:r>
              <w:rPr>
                <w:sz w:val="24"/>
                <w:szCs w:val="24"/>
                <w:vertAlign w:val="baseline"/>
              </w:rPr>
              <w:lastRenderedPageBreak/>
              <w:t xml:space="preserve">экономические показатели по генплану 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lastRenderedPageBreak/>
              <w:t xml:space="preserve">Улица Московская на участке от ул. </w:t>
            </w:r>
            <w:proofErr w:type="spellStart"/>
            <w:r>
              <w:rPr>
                <w:sz w:val="24"/>
                <w:szCs w:val="24"/>
                <w:vertAlign w:val="baseline"/>
              </w:rPr>
              <w:t>Хасановская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до </w:t>
            </w:r>
            <w:r>
              <w:rPr>
                <w:sz w:val="24"/>
                <w:szCs w:val="24"/>
                <w:vertAlign w:val="baseline"/>
              </w:rPr>
              <w:lastRenderedPageBreak/>
              <w:t xml:space="preserve">бульвара Денисова-Уральского протяженностью 1908 м (ориентировочно). Транспортная развязка в разных уровнях на пересечении улиц Московская-Щорса-Амундсена с устройством путепровода протяженностью 64 м (ориентировочно), из монолитного железобетона, 4 полосы движения. 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Участок ул. Щорса-Амундсена протяженностью 293 м (ориентировочно), капитальный ремонт.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 Ул. Шаумян</w:t>
            </w:r>
            <w:proofErr w:type="gramStart"/>
            <w:r>
              <w:rPr>
                <w:sz w:val="24"/>
                <w:szCs w:val="24"/>
                <w:vertAlign w:val="baseline"/>
              </w:rPr>
              <w:t>а-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протяженностью 197 м (ориентировочно) капитальный ремонт.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Ул. </w:t>
            </w:r>
            <w:proofErr w:type="gramStart"/>
            <w:r>
              <w:rPr>
                <w:sz w:val="24"/>
                <w:szCs w:val="24"/>
                <w:vertAlign w:val="baseline"/>
              </w:rPr>
              <w:t>Айвазовского-протяженностью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324 м (ориентировочно) ремонт.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 xml:space="preserve">Ул. Советских </w:t>
            </w:r>
            <w:proofErr w:type="gramStart"/>
            <w:r>
              <w:rPr>
                <w:color w:val="000000"/>
                <w:sz w:val="24"/>
                <w:szCs w:val="28"/>
                <w:vertAlign w:val="baseline"/>
              </w:rPr>
              <w:t>Женщин-протяженностью</w:t>
            </w:r>
            <w:proofErr w:type="gramEnd"/>
            <w:r>
              <w:rPr>
                <w:color w:val="000000"/>
                <w:sz w:val="24"/>
                <w:szCs w:val="28"/>
                <w:vertAlign w:val="baseline"/>
              </w:rPr>
              <w:t xml:space="preserve"> 225 м </w:t>
            </w:r>
            <w:r>
              <w:rPr>
                <w:sz w:val="24"/>
                <w:szCs w:val="24"/>
                <w:vertAlign w:val="baseline"/>
              </w:rPr>
              <w:t>(ориентировочно),</w:t>
            </w:r>
            <w:r>
              <w:rPr>
                <w:color w:val="000000"/>
                <w:sz w:val="24"/>
                <w:szCs w:val="28"/>
                <w:vertAlign w:val="baseline"/>
              </w:rPr>
              <w:t xml:space="preserve"> ремонт.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Ул. Депутатска</w:t>
            </w:r>
            <w:proofErr w:type="gramStart"/>
            <w:r>
              <w:rPr>
                <w:sz w:val="24"/>
                <w:szCs w:val="24"/>
                <w:vertAlign w:val="baseline"/>
              </w:rPr>
              <w:t>я-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протяженность 121 м (ориентировочно) ремонт.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Переулок </w:t>
            </w:r>
            <w:proofErr w:type="spellStart"/>
            <w:r>
              <w:rPr>
                <w:sz w:val="24"/>
                <w:szCs w:val="24"/>
                <w:vertAlign w:val="baseline"/>
              </w:rPr>
              <w:t>Арамильский</w:t>
            </w:r>
            <w:proofErr w:type="spellEnd"/>
            <w:r>
              <w:rPr>
                <w:sz w:val="24"/>
                <w:szCs w:val="24"/>
                <w:vertAlign w:val="baseline"/>
              </w:rPr>
              <w:t>-протяжённость 208 м (ориентировочно), ремонт.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 xml:space="preserve">Местный проезд вдоль ул. </w:t>
            </w:r>
            <w:proofErr w:type="gramStart"/>
            <w:r>
              <w:rPr>
                <w:color w:val="000000"/>
                <w:sz w:val="24"/>
                <w:szCs w:val="28"/>
                <w:vertAlign w:val="baseline"/>
              </w:rPr>
              <w:t>Московской</w:t>
            </w:r>
            <w:r>
              <w:rPr>
                <w:sz w:val="22"/>
                <w:szCs w:val="24"/>
                <w:vertAlign w:val="baseline"/>
              </w:rPr>
              <w:t>-протяженность</w:t>
            </w:r>
            <w:proofErr w:type="gramEnd"/>
            <w:r>
              <w:rPr>
                <w:sz w:val="22"/>
                <w:szCs w:val="24"/>
                <w:vertAlign w:val="baseline"/>
              </w:rPr>
              <w:t xml:space="preserve"> 311 м </w:t>
            </w:r>
            <w:r>
              <w:rPr>
                <w:sz w:val="24"/>
                <w:szCs w:val="24"/>
                <w:vertAlign w:val="baseline"/>
              </w:rPr>
              <w:t>(ориентировочно),</w:t>
            </w:r>
            <w:r>
              <w:rPr>
                <w:sz w:val="22"/>
                <w:szCs w:val="24"/>
                <w:vertAlign w:val="baseline"/>
              </w:rPr>
              <w:t xml:space="preserve"> строительство.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 xml:space="preserve">Съезд с ул. Амундсена на ул. </w:t>
            </w:r>
            <w:proofErr w:type="gramStart"/>
            <w:r>
              <w:rPr>
                <w:sz w:val="22"/>
                <w:szCs w:val="24"/>
                <w:vertAlign w:val="baseline"/>
              </w:rPr>
              <w:t>Московская-протяженность</w:t>
            </w:r>
            <w:proofErr w:type="gramEnd"/>
            <w:r>
              <w:rPr>
                <w:sz w:val="22"/>
                <w:szCs w:val="24"/>
                <w:vertAlign w:val="baseline"/>
              </w:rPr>
              <w:t xml:space="preserve"> 213 м </w:t>
            </w:r>
            <w:r>
              <w:rPr>
                <w:sz w:val="24"/>
                <w:szCs w:val="24"/>
                <w:vertAlign w:val="baseline"/>
              </w:rPr>
              <w:t>(ориентировочно),</w:t>
            </w:r>
            <w:r>
              <w:rPr>
                <w:sz w:val="22"/>
                <w:szCs w:val="24"/>
                <w:vertAlign w:val="baseline"/>
              </w:rPr>
              <w:t xml:space="preserve"> строительство.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 xml:space="preserve">Съезд с ул. Щорса на ул. Московская – протяженность 200 м </w:t>
            </w:r>
            <w:r>
              <w:rPr>
                <w:sz w:val="24"/>
                <w:szCs w:val="24"/>
                <w:vertAlign w:val="baseline"/>
              </w:rPr>
              <w:t>(ориентировочно),</w:t>
            </w:r>
            <w:r>
              <w:rPr>
                <w:sz w:val="22"/>
                <w:szCs w:val="24"/>
                <w:vertAlign w:val="baseline"/>
              </w:rPr>
              <w:t xml:space="preserve"> строительство.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Тип дорожной одежды капитальный, вид покрытия ЩМА.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 xml:space="preserve">Наружные сети связи – 2136 м </w:t>
            </w:r>
            <w:r>
              <w:rPr>
                <w:sz w:val="24"/>
                <w:szCs w:val="24"/>
                <w:vertAlign w:val="baseline"/>
              </w:rPr>
              <w:t>(ориентировочно)</w:t>
            </w:r>
            <w:r>
              <w:rPr>
                <w:sz w:val="22"/>
                <w:szCs w:val="24"/>
                <w:vertAlign w:val="baseline"/>
              </w:rPr>
              <w:t>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Наружные сети водоснабжения и канализации: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-1 этап строительства – 1776 м (ориентировочно).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-2 этап строительства – 1338 м (ориентировочно).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 xml:space="preserve">Протяженность бытовой канализации (1 этап строительства) -117 (ориентировочно) </w:t>
            </w:r>
            <w:proofErr w:type="gramStart"/>
            <w:r>
              <w:rPr>
                <w:sz w:val="22"/>
                <w:szCs w:val="24"/>
                <w:vertAlign w:val="baseline"/>
              </w:rPr>
              <w:t>м</w:t>
            </w:r>
            <w:proofErr w:type="gramEnd"/>
            <w:r>
              <w:rPr>
                <w:sz w:val="22"/>
                <w:szCs w:val="24"/>
                <w:vertAlign w:val="baseline"/>
              </w:rPr>
              <w:t>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Протяженность дождевой канализации: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-1 этап строительства – 896 м (ориентировочно).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- 2 этап строительства – 10 м (ориентировочно).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- 3 этап строительства – 1527 м (ориентировочно).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Протяжённость дренажа мелкого заложения: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- 1 этап строительства – 160 м (ориентировочно).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- 3 этап строительства – 296 м (ориентировочно).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Наружные газопроводы: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>- Протяженность перекладываемого газопровода высокого давления II категории (свыше 0,4 до 0,6 МПа) по 1 этапу – 482 м (ориентировочно).</w:t>
            </w:r>
          </w:p>
          <w:p w:rsidR="00B41F91" w:rsidRDefault="00B41F91">
            <w:pPr>
              <w:rPr>
                <w:sz w:val="22"/>
                <w:szCs w:val="24"/>
                <w:vertAlign w:val="baseline"/>
              </w:rPr>
            </w:pPr>
            <w:r>
              <w:rPr>
                <w:sz w:val="22"/>
                <w:szCs w:val="24"/>
                <w:vertAlign w:val="baseline"/>
              </w:rPr>
              <w:t xml:space="preserve">- Протяженность перекладываемого газопровода высокого давления II категории (свыше 0,4 до 0,6 МПа) по 3 этапу – 227 (ориентировочно) </w:t>
            </w:r>
            <w:proofErr w:type="gramStart"/>
            <w:r>
              <w:rPr>
                <w:sz w:val="22"/>
                <w:szCs w:val="24"/>
                <w:vertAlign w:val="baseline"/>
              </w:rPr>
              <w:t>м</w:t>
            </w:r>
            <w:proofErr w:type="gramEnd"/>
            <w:r>
              <w:rPr>
                <w:sz w:val="22"/>
                <w:szCs w:val="24"/>
                <w:vertAlign w:val="baseline"/>
              </w:rPr>
              <w:t>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jc w:val="center"/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Требования к инженерным изысканиям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Выполнить уточнение ранее проведенных инженерных изысканий в объеме, необходимом для подготовки рабочей документации. При необходимости выполнить дополнительные инженерно-геодезические, инженерно-геологические, инженерно-гидрометеорологические инженерн</w:t>
            </w:r>
            <w:proofErr w:type="gramStart"/>
            <w:r>
              <w:rPr>
                <w:sz w:val="24"/>
                <w:szCs w:val="24"/>
                <w:vertAlign w:val="baseline"/>
              </w:rPr>
              <w:t>о-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экологические изыскания в счет цены муниципального контракта.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Инженерные изыскания должна осуществлять организация, имеющая соответствующие допуски на виды работ по </w:t>
            </w:r>
            <w:r>
              <w:rPr>
                <w:sz w:val="24"/>
                <w:szCs w:val="24"/>
                <w:vertAlign w:val="baseline"/>
              </w:rPr>
              <w:lastRenderedPageBreak/>
              <w:t xml:space="preserve">инженерным изысканиям, которые влияют на безопасность капитального строительства </w:t>
            </w:r>
            <w:proofErr w:type="gramStart"/>
            <w:r>
              <w:rPr>
                <w:sz w:val="24"/>
                <w:szCs w:val="24"/>
                <w:vertAlign w:val="baseline"/>
              </w:rPr>
              <w:t>согласно Приказа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Минрегионразвития России от 30.12.2009 № 624.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. Виды работ по инженерным изысканиям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1. Работы в составе инженерно-геодезических изысканий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1.3. Создание и обновление инженерно-топографических планов в масштабах 1:200–1:5000, в том числе в цифровой форме, съемка подземных коммуникаций и сооружений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1.4. Трассирование линейных объектов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2. Работы в составе инженерно-геологических изысканий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2.1. Инженерно-геологическая съемка в масштабах 1:500 - 1:25000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>
              <w:rPr>
                <w:i/>
              </w:rPr>
              <w:t>ств гр</w:t>
            </w:r>
            <w:proofErr w:type="gramEnd"/>
            <w:r>
              <w:rPr>
                <w:i/>
              </w:rPr>
              <w:t>унтов и химических свойств проб подземных вод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2.4. Гидрогеологические исследования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4. Работы в составе инженерно-экологических изысканий</w:t>
            </w:r>
          </w:p>
          <w:p w:rsidR="00B41F91" w:rsidRDefault="00B41F91">
            <w:pPr>
              <w:pStyle w:val="a4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4.1. Инженерно-экологическая съемка территории</w:t>
            </w:r>
          </w:p>
          <w:p w:rsidR="00B41F91" w:rsidRDefault="00B41F91">
            <w:pPr>
              <w:rPr>
                <w:i/>
                <w:sz w:val="24"/>
                <w:szCs w:val="24"/>
                <w:vertAlign w:val="baseline"/>
                <w:lang w:eastAsia="en-US"/>
              </w:rPr>
            </w:pPr>
            <w:r>
              <w:rPr>
                <w:i/>
                <w:sz w:val="24"/>
                <w:szCs w:val="24"/>
                <w:vertAlign w:val="baseline"/>
                <w:lang w:eastAsia="en-US"/>
              </w:rPr>
              <w:t xml:space="preserve">4.2. Исследования химического загрязнения </w:t>
            </w:r>
            <w:proofErr w:type="spellStart"/>
            <w:r>
              <w:rPr>
                <w:i/>
                <w:sz w:val="24"/>
                <w:szCs w:val="24"/>
                <w:vertAlign w:val="baseline"/>
                <w:lang w:eastAsia="en-US"/>
              </w:rPr>
              <w:t>почвогрунтов</w:t>
            </w:r>
            <w:proofErr w:type="spellEnd"/>
            <w:r>
              <w:rPr>
                <w:i/>
                <w:sz w:val="24"/>
                <w:szCs w:val="24"/>
                <w:vertAlign w:val="baseline"/>
                <w:lang w:eastAsia="en-US"/>
              </w:rPr>
              <w:t>, поверхностных и подземных вод, атмосферного воздуха, источников загрязнения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Отчеты  о  комплексных  инженерных  изысканиях  должны быть  согласованны  и переданы в Департамент архитектуры, градостроительства и урегулирования земельных отношений города Екатеринбурга.</w:t>
            </w:r>
          </w:p>
          <w:p w:rsidR="00B41F91" w:rsidRDefault="00B41F91" w:rsidP="00175F5A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При необходимости </w:t>
            </w:r>
            <w:r w:rsidR="00175F5A">
              <w:rPr>
                <w:sz w:val="24"/>
                <w:szCs w:val="24"/>
                <w:vertAlign w:val="baseline"/>
              </w:rPr>
              <w:t>Проектировщик</w:t>
            </w:r>
            <w:r>
              <w:rPr>
                <w:sz w:val="24"/>
                <w:szCs w:val="24"/>
                <w:vertAlign w:val="baseline"/>
              </w:rPr>
              <w:t xml:space="preserve"> должен заключить  договоры  на  исследования  (гидрогеологическое исследование, замеры шума, исследования почвы, замеры радиации и радона, исследование сейсмичности участка, исследование фоновых концентраций загрязняющих веществ в окружающем воздухе, историко-археологические и др.).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lastRenderedPageBreak/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Требования к сметной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Сметную документацию разработать в базисном уровне цен 2001 года, в редакции 2009 года </w:t>
            </w:r>
            <w:proofErr w:type="gramStart"/>
            <w:r>
              <w:rPr>
                <w:sz w:val="24"/>
                <w:szCs w:val="24"/>
                <w:vertAlign w:val="baseline"/>
              </w:rPr>
              <w:t>по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ТЕР </w:t>
            </w:r>
            <w:proofErr w:type="gramStart"/>
            <w:r>
              <w:rPr>
                <w:sz w:val="24"/>
                <w:szCs w:val="24"/>
                <w:vertAlign w:val="baseline"/>
              </w:rPr>
              <w:t>для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Свердловской области согласно Постановлению Правительства Свердловской области от 10.11.2010 №1616-ПП с переводом сводного сметного расчета в текущие цены базисно-индексным методом.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В Сводный сметный расчет включить: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затраты на охрану объекта;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затраты на переустройство инженерных сетей;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затраты на технологические присоединения;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lastRenderedPageBreak/>
              <w:t>- прочие затраты для ввода объекта в эксплуатацию;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Резерв средств на непредвиденные работы и затраты в размере 2 %.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Информация о текущих ценах на материальные ресурсы, изделия, эксплуатацию строительных машин должна быть получена в региональном центре ценообразования в строительстве.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Основные исходные данные и материалы, предоставляемые заказчиком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r>
              <w:rPr>
                <w:szCs w:val="24"/>
              </w:rPr>
              <w:t>Технический отчет об инженерно-геодезических изысканиях 1014-ИГД;</w:t>
            </w:r>
          </w:p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r>
              <w:rPr>
                <w:szCs w:val="24"/>
              </w:rPr>
              <w:t>Технический отчет об инженерно-геологических изысканиях часть II книга 1, 1014-ИГЛ-ТО;</w:t>
            </w:r>
          </w:p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r>
              <w:rPr>
                <w:szCs w:val="24"/>
              </w:rPr>
              <w:t>Технический отчет об инженерно-геологических изысканиях часть II книга 2, 1014-ИГЛ-ГП;</w:t>
            </w:r>
          </w:p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r>
              <w:rPr>
                <w:szCs w:val="24"/>
              </w:rPr>
              <w:t>Технический отчет об инженерно-геологических изысканиях часть II книга 3, 1014-ИГЛ-ГП;</w:t>
            </w:r>
          </w:p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r>
              <w:rPr>
                <w:szCs w:val="24"/>
              </w:rPr>
              <w:t>Технический отчет об инженерно-экологических изысканиях том III, 1014-ИЭИ;</w:t>
            </w:r>
          </w:p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r>
              <w:rPr>
                <w:szCs w:val="24"/>
              </w:rPr>
              <w:t>Технический отчет об инженерно-геофизических изысканиях часть IV, 1014-ИГФ;</w:t>
            </w:r>
          </w:p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proofErr w:type="gramStart"/>
            <w:r>
              <w:rPr>
                <w:szCs w:val="24"/>
              </w:rPr>
              <w:t>Положительное заключение государственной экспертизы № 66-1-5-0231-15/15-0183-1).</w:t>
            </w:r>
            <w:proofErr w:type="gramEnd"/>
          </w:p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r>
              <w:rPr>
                <w:szCs w:val="24"/>
              </w:rPr>
              <w:t xml:space="preserve">Проектная документация (стадия П) выполненная ООО «СТРИТ» в 2015 г. Шифр </w:t>
            </w:r>
            <w:r>
              <w:rPr>
                <w:szCs w:val="24"/>
                <w:shd w:val="clear" w:color="auto" w:fill="FFFFFF"/>
              </w:rPr>
              <w:t xml:space="preserve">0214-00, </w:t>
            </w:r>
            <w:r>
              <w:rPr>
                <w:szCs w:val="24"/>
              </w:rPr>
              <w:t xml:space="preserve">на бумажном носителе и в электронном виде в формате </w:t>
            </w:r>
            <w:proofErr w:type="spellStart"/>
            <w:r>
              <w:rPr>
                <w:szCs w:val="24"/>
                <w:lang w:val="en-US"/>
              </w:rPr>
              <w:t>pdf</w:t>
            </w:r>
            <w:proofErr w:type="spellEnd"/>
            <w:proofErr w:type="gramStart"/>
            <w:r>
              <w:rPr>
                <w:szCs w:val="24"/>
              </w:rPr>
              <w:t xml:space="preserve"> ;</w:t>
            </w:r>
            <w:proofErr w:type="gramEnd"/>
          </w:p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r>
              <w:rPr>
                <w:szCs w:val="24"/>
              </w:rPr>
              <w:t>Технические условия инженерных служб города в составе проектной документации.</w:t>
            </w:r>
          </w:p>
          <w:p w:rsidR="00B41F91" w:rsidRDefault="00B41F91" w:rsidP="00BC4D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szCs w:val="24"/>
              </w:rPr>
            </w:pPr>
            <w:r>
              <w:rPr>
                <w:szCs w:val="24"/>
              </w:rPr>
              <w:t>Любые дополнительные, повторные технические условия необходимые для проектных работ Генеральный подрядчик запрашивает самостоятельно.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Нормы проектирования и основные технические требования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9.1. Нормы проектирования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9.2 Категория улиц и число полос движения, ширина тротуаров и велодорожек.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9.3 Тип дорожной одежды и вид покрытия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9.4 Путепровод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lastRenderedPageBreak/>
              <w:t>СП 42.13330.2011 «Градостроительство. Планировка и застройка городских и сельских поселений» (Актуализированная редакция СНиП 2.07.01-89*); «Рекомендации по проектированию улиц и дорог городов и сельских поселений»; СП 34.13330.2012 «Автомобильные дороги» (Актуализированная редакция СНиП 2.05.02-85*); СНиП 35-01-2001 «Доступность зданий и сооружений для маломобильных групп населения»; СП 32.13330.2012 «Канализация. Наружные сети и сооружения» (Актуализированная редакция СНиП 2.04.03-85); «Рекомендации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объекты» ФГУП «НИИ ВОДГЕО»; СНиП 2.06.15-85 «Инженерная защита территории от затопления и подтопления» и иные нормативно-технические документы, стандарты, своды правил для проектирования и строительства, а также положения нормативно-правовых актов.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Ул. Московская - </w:t>
            </w:r>
            <w:r>
              <w:rPr>
                <w:color w:val="000000"/>
                <w:sz w:val="24"/>
                <w:szCs w:val="28"/>
                <w:vertAlign w:val="baseline"/>
              </w:rPr>
              <w:t xml:space="preserve">Магистральная улица общегородского значения регулируемого движения, число полос движения 4 шт., 6 шт., ширина полосы движения 3,5 м, ширина </w:t>
            </w:r>
            <w:r>
              <w:rPr>
                <w:color w:val="000000"/>
                <w:sz w:val="24"/>
                <w:szCs w:val="28"/>
                <w:vertAlign w:val="baseline"/>
              </w:rPr>
              <w:lastRenderedPageBreak/>
              <w:t>велосипедной дорожки 1,5 м, ширина тротуара 3,0 м (уточнить проектом).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>Ул. Щорса – Амундсена - магистральная улица районного значения, число полос движения 4 шт., 5 шт., ширина полосы движения 3,5 м, ширина тротуара 2,25 м, 3,0 м (уточнить проектом).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Ул. Шаумяна - </w:t>
            </w:r>
            <w:r>
              <w:rPr>
                <w:color w:val="000000"/>
                <w:sz w:val="24"/>
                <w:szCs w:val="28"/>
                <w:vertAlign w:val="baseline"/>
              </w:rPr>
              <w:t>магистральная улица районного значения, число полос движения 4 шт., ширина полосы движения 3,5 м, ширина тротуара 3,0 м (уточнить проектом).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>Ул. Айвазовского - магистральная улица районного значения, число полос движения 2 шт., ширина полосы движения 3,0 м, ширина тротуара 1,5 м (уточнить проектом).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>Ул. Советских женщин – улица в жилой застройке, число полос движения 2 шт., ширина полосы движения 3,0 м, ширина тротуара 1,5 м (уточнить проектом).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>Ул. Депутатская - улица в жилой застройке, число полос движения 2 шт., ширина полосы движения 3,0 м, ширина тротуара 1,5 м (уточнить проектом).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 xml:space="preserve">Переулок </w:t>
            </w:r>
            <w:proofErr w:type="spellStart"/>
            <w:r>
              <w:rPr>
                <w:color w:val="000000"/>
                <w:sz w:val="24"/>
                <w:szCs w:val="28"/>
                <w:vertAlign w:val="baseline"/>
              </w:rPr>
              <w:t>Арамильский</w:t>
            </w:r>
            <w:proofErr w:type="spellEnd"/>
            <w:r>
              <w:rPr>
                <w:color w:val="000000"/>
                <w:sz w:val="24"/>
                <w:szCs w:val="28"/>
                <w:vertAlign w:val="baseline"/>
              </w:rPr>
              <w:t xml:space="preserve"> - улица в жилой застройке, число полос движения 2 шт., ширина полосы движения 3,0 м, ширина тротуара 1,5 м (уточнить проектом).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 xml:space="preserve">Местный проезд вдоль ул. Московской – съезд, число полос движения 2 шт., ширина полосы движения 3,0 м (уточнить проектом). 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Дорожная одежда капитального типа, вид покрытия – ЩМА, (Согласно проектной документации и заключению экспертизы)</w:t>
            </w:r>
          </w:p>
          <w:p w:rsidR="00B41F91" w:rsidRDefault="00B41F91">
            <w:pPr>
              <w:rPr>
                <w:color w:val="000000"/>
                <w:sz w:val="24"/>
                <w:szCs w:val="28"/>
                <w:vertAlign w:val="baseline"/>
              </w:rPr>
            </w:pPr>
            <w:r>
              <w:rPr>
                <w:color w:val="000000"/>
                <w:sz w:val="24"/>
                <w:szCs w:val="28"/>
                <w:vertAlign w:val="baseline"/>
              </w:rPr>
              <w:t xml:space="preserve">Тип сооружения – капитальный. Схема путепровода 18+24+18 м. Длинна путепровода 64 м (ориентировочно). Габариты путепровода 2(Г-9) +2х0,75. Расчетная нагрузка А14, Н14 (уточнить проектом). 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lastRenderedPageBreak/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Особые условия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Рабочую документацию разработать на основании проектной документации по объекту «</w:t>
            </w:r>
            <w:r>
              <w:rPr>
                <w:sz w:val="24"/>
                <w:szCs w:val="28"/>
                <w:shd w:val="clear" w:color="auto" w:fill="FFFFFF"/>
                <w:vertAlign w:val="baseline"/>
              </w:rPr>
              <w:t xml:space="preserve">Реконструкция улицы Московская от улицы </w:t>
            </w:r>
            <w:proofErr w:type="spellStart"/>
            <w:r>
              <w:rPr>
                <w:sz w:val="24"/>
                <w:szCs w:val="28"/>
                <w:shd w:val="clear" w:color="auto" w:fill="FFFFFF"/>
                <w:vertAlign w:val="baseline"/>
              </w:rPr>
              <w:t>Хасановская</w:t>
            </w:r>
            <w:proofErr w:type="spellEnd"/>
            <w:r>
              <w:rPr>
                <w:sz w:val="24"/>
                <w:szCs w:val="28"/>
                <w:shd w:val="clear" w:color="auto" w:fill="FFFFFF"/>
                <w:vertAlign w:val="baseline"/>
              </w:rPr>
              <w:t xml:space="preserve"> до бульвара Денисова-Уральского со строительством транспортной развязки в разных уровнях на пересечении улиц Московская-Щорса-Амундсена в г. Екатеринбурге». 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Выполнить увязку проектных решений с существующими и проектируемыми объектами и перспективными инженерными сетями.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При необходимости применения (замены) в рабочей документации материалов, не предусмотренных проектной документацией, которые влекут за собой изменения качественных и стоимостных характеристик объекта строительства (реконструкции), </w:t>
            </w:r>
            <w:r w:rsidR="00175F5A">
              <w:rPr>
                <w:color w:val="000000" w:themeColor="text1"/>
                <w:sz w:val="24"/>
                <w:szCs w:val="24"/>
                <w:vertAlign w:val="baseline"/>
              </w:rPr>
              <w:t>Проектировщик</w:t>
            </w:r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 должен получить согласие Муниципального заказчика</w:t>
            </w:r>
            <w:r w:rsidR="00175F5A">
              <w:rPr>
                <w:color w:val="000000" w:themeColor="text1"/>
                <w:sz w:val="24"/>
                <w:szCs w:val="24"/>
                <w:vertAlign w:val="baseline"/>
              </w:rPr>
              <w:t xml:space="preserve"> и уведомить Генерального подрядчика</w:t>
            </w:r>
            <w:r>
              <w:rPr>
                <w:color w:val="000000" w:themeColor="text1"/>
                <w:sz w:val="24"/>
                <w:szCs w:val="24"/>
                <w:vertAlign w:val="baseline"/>
              </w:rPr>
              <w:t>.</w:t>
            </w:r>
          </w:p>
          <w:p w:rsidR="00B41F91" w:rsidRDefault="00B41F91" w:rsidP="00175F5A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При разработке рабочей документации </w:t>
            </w:r>
            <w:r w:rsidR="00175F5A">
              <w:rPr>
                <w:sz w:val="24"/>
                <w:szCs w:val="24"/>
                <w:vertAlign w:val="baseline"/>
              </w:rPr>
              <w:t>Проектировщиком</w:t>
            </w:r>
            <w:r>
              <w:rPr>
                <w:sz w:val="24"/>
                <w:szCs w:val="24"/>
                <w:vertAlign w:val="baseline"/>
              </w:rPr>
              <w:t>, если необходимо, то следует предусмотреть и согласовать с органами местного самоуправления территорию для ме</w:t>
            </w:r>
            <w:proofErr w:type="gramStart"/>
            <w:r>
              <w:rPr>
                <w:sz w:val="24"/>
                <w:szCs w:val="24"/>
                <w:vertAlign w:val="baseline"/>
              </w:rPr>
              <w:t>ст скл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адирования инертных материалов, закупаемых в зимний </w:t>
            </w:r>
            <w:r>
              <w:rPr>
                <w:sz w:val="24"/>
                <w:szCs w:val="24"/>
                <w:vertAlign w:val="baseline"/>
              </w:rPr>
              <w:lastRenderedPageBreak/>
              <w:t>период.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lastRenderedPageBreak/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Основные требования к конструктивным решениям и материалам несущих конструкций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Нормативные нагрузки, конструктивные решения и материалы в части устойчивости и прочности линейного объекта, а также оборудования, обеспечивающего безопасность движения транспортных средств и пешеходов, должны соответствовать действующим требованиям нормативных и технических актов, сводов правил, норм и стандартов РФ.</w:t>
            </w:r>
          </w:p>
          <w:p w:rsidR="00B41F91" w:rsidRDefault="00175F5A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Проектировщику</w:t>
            </w:r>
            <w:r w:rsidR="00B41F91">
              <w:rPr>
                <w:sz w:val="24"/>
                <w:szCs w:val="24"/>
                <w:vertAlign w:val="baseline"/>
              </w:rPr>
              <w:t xml:space="preserve"> разработать основные требования к конструктивным решениям и материалам несущих конструкций, согласно действующим рекомендациям нормативных документов.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Для повышения эксплуатационных характеристик (прочности, надежности и долговечности) применить современные строительные технологии и материалы.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Для увеличения сроков эксплуатации дорожного покрытия и улучшения характеристик асфальтобетона таких, как </w:t>
            </w:r>
            <w:proofErr w:type="spellStart"/>
            <w:r>
              <w:rPr>
                <w:sz w:val="24"/>
                <w:szCs w:val="24"/>
                <w:vertAlign w:val="baseline"/>
              </w:rPr>
              <w:t>сдвигоустойчивость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, сопротивляемость </w:t>
            </w:r>
            <w:proofErr w:type="spellStart"/>
            <w:r>
              <w:rPr>
                <w:sz w:val="24"/>
                <w:szCs w:val="24"/>
                <w:vertAlign w:val="baseline"/>
              </w:rPr>
              <w:t>колееобразованию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baseline"/>
              </w:rPr>
              <w:t>трещиностойкость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и водостойкость, предусмотреть применение щебеночно-мастичного асфальтобетона на основе полимерно-битумного вяжущего согласно ГОСТ </w:t>
            </w:r>
            <w:proofErr w:type="gramStart"/>
            <w:r>
              <w:rPr>
                <w:sz w:val="24"/>
                <w:szCs w:val="24"/>
                <w:vertAlign w:val="baseline"/>
              </w:rPr>
              <w:t>Р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52056-2003. 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Для обеспечения безопасности дорожного движения, долговечности дорожного покрытия и прочности конструкции предусмотреть возможность применения чугунных люков колодцев на проезжей части плавающего типа.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Основные требования к организации дорожного движения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Мероприятия, обеспечивающие безопасность дорожного движения транспорта и пешеходов (велосипедистов) разработать в соответствии с требованиями ГОСТ </w:t>
            </w:r>
            <w:proofErr w:type="gramStart"/>
            <w:r>
              <w:rPr>
                <w:sz w:val="24"/>
                <w:szCs w:val="24"/>
                <w:vertAlign w:val="baseline"/>
              </w:rPr>
              <w:t>Р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52282-2004, ГОСТ Р 52289-2004 (учесть изменения, вступившие в силу с 28 февраля 2014 года) ГОСТ Р 52290-2004, ГОСТ Р 52766-2007 и ГОСТ Р 51256-2011.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Количество новых и реконструируемых светофорных объектов уточнить рабочей документацией.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Благоустройство выполнить в соответствии с техническими условиями, выданными Комитетом благоустройства города.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Предусмотреть мероприятия по ограничению доступа автотранспорта на тротуары и велодорожки.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В местах пересечениях тротуаров и велодорожек с выездами с прилегающей территории предоставить преимущество пешеходному движению, предусмотрев устройство искусственных дорожных неровностей на всю ширину и в одном уровне с тротуаром и велодорожкой.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Велосипедные дорожки запроектировать </w:t>
            </w:r>
            <w:proofErr w:type="gramStart"/>
            <w:r>
              <w:rPr>
                <w:sz w:val="24"/>
                <w:szCs w:val="24"/>
                <w:vertAlign w:val="baseline"/>
              </w:rPr>
              <w:t>обособленными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от основной проезжей части (бордюрным камнем, газоном и т.п.). Велосипедные дорожки должны быть обозначены как знаками «Велосипедная дорожка», так и разметкой с нанесением изображения велосипеда на саму дорожку каждые 100 – 150 метров. Вид покрытия велодорожки асфальтобетон (цветовые решения определить проектом, </w:t>
            </w:r>
            <w:r>
              <w:rPr>
                <w:sz w:val="24"/>
                <w:szCs w:val="24"/>
                <w:vertAlign w:val="baseline"/>
              </w:rPr>
              <w:lastRenderedPageBreak/>
              <w:t xml:space="preserve">согласовать с Муниципальным заказчиком). 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Проектом предусмотреть вариантность устройства перильного ограждения, соответствующего архитектурно-выразительному стилю города и согласовать с Муниципальным заказчиком</w:t>
            </w:r>
            <w:r w:rsidR="00175F5A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>. Предусмотреть озеленение объекта и установку малых архитектурных форм (скамейки, урны).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При устройстве газонов на теневых сторонах домов в смесь газонной травы включать тенелюбивые сорта газонных трав. Травяной покров на газонах в летний период, следующий после сдачи объекта и летний период через год после сдачи объекта должен быть однородный по густоте и высоте травостоя. Газоны запроектировать таким образом, чтобы исключить возможность заезда на них автомобилей, а также исключить вымывание земли с газонов на проезжую часть или тротуары. Посадку деревьев, граничащих с твёрдыми покрытиями, запроектировать с устройством приствольных решеток.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Проект увязать с существующими и проектируемыми объектами и перспективными инженерными сетями.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Отделку наружных поверхностей опор и подпорных стен выполнить в технике многоцветного сграффито. 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lastRenderedPageBreak/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spacing w:line="252" w:lineRule="auto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Решить проектом и при необходимости предусмотреть мероприятия по обеспечению условий жизнедеятельности маломобильных групп населения в соответствии с требованиями действующих нормативных документов. 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Необходимость переустройства существующих инженерных коммуникаций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91" w:rsidRDefault="00B41F91">
            <w:pPr>
              <w:ind w:left="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Протяженность проектируемых сетей (уточнить при проектировании):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- переустраиваемых кабельных ЛЭП-10 </w:t>
            </w:r>
            <w:proofErr w:type="spellStart"/>
            <w:r>
              <w:rPr>
                <w:sz w:val="24"/>
                <w:szCs w:val="24"/>
                <w:vertAlign w:val="baseline"/>
              </w:rPr>
              <w:t>кВ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-2340 м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- переустраиваемых кабельных ЛЭП-10 </w:t>
            </w:r>
            <w:proofErr w:type="spellStart"/>
            <w:r>
              <w:rPr>
                <w:sz w:val="24"/>
                <w:szCs w:val="24"/>
                <w:vertAlign w:val="baseline"/>
              </w:rPr>
              <w:t>кВ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ЕТТУ – 210 м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переустраиваемая контактная сеть – 620 м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- переустраиваемых воздушных ВЛИ-0,4 </w:t>
            </w:r>
            <w:proofErr w:type="spellStart"/>
            <w:r>
              <w:rPr>
                <w:sz w:val="24"/>
                <w:szCs w:val="24"/>
                <w:vertAlign w:val="baseline"/>
              </w:rPr>
              <w:t>кВ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– 888 м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питающая кабельная сеть уличного освещения – 150 м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- распределительная кабельная сеть освещения – 7980 м (ориентировочно). 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питающая кабельная сеть к объектам светофорного регулирования – 473 м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распределительная кабельная сеть объектов светофорного регулирования – 3983 м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Количество проектируемых опор: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-опоры освещения улицы – 230 </w:t>
            </w:r>
            <w:proofErr w:type="spellStart"/>
            <w:proofErr w:type="gramStart"/>
            <w:r>
              <w:rPr>
                <w:sz w:val="24"/>
                <w:szCs w:val="24"/>
                <w:vertAlign w:val="baseline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vertAlign w:val="baseline"/>
              </w:rPr>
              <w:t xml:space="preserve">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- опора светофорная – 76 </w:t>
            </w:r>
            <w:proofErr w:type="spellStart"/>
            <w:proofErr w:type="gramStart"/>
            <w:r>
              <w:rPr>
                <w:sz w:val="24"/>
                <w:szCs w:val="24"/>
                <w:vertAlign w:val="baseline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vertAlign w:val="baseline"/>
              </w:rPr>
              <w:t xml:space="preserve">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- опоры переустраиваемых ВЛИ-0,4 </w:t>
            </w:r>
            <w:proofErr w:type="spellStart"/>
            <w:r>
              <w:rPr>
                <w:sz w:val="24"/>
                <w:szCs w:val="24"/>
                <w:vertAlign w:val="baseline"/>
              </w:rPr>
              <w:t>кВ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– 15шт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- опоры контактной сети -  23 </w:t>
            </w:r>
            <w:proofErr w:type="spellStart"/>
            <w:proofErr w:type="gramStart"/>
            <w:r>
              <w:rPr>
                <w:sz w:val="24"/>
                <w:szCs w:val="24"/>
                <w:vertAlign w:val="baseline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vertAlign w:val="baseline"/>
              </w:rPr>
              <w:t xml:space="preserve"> (ориентировочно).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Проектом предусмотреть подземную прокладку </w:t>
            </w:r>
            <w:r>
              <w:rPr>
                <w:sz w:val="24"/>
                <w:szCs w:val="24"/>
                <w:vertAlign w:val="baseline"/>
              </w:rPr>
              <w:lastRenderedPageBreak/>
              <w:t>слаботочных сетей в кабельных каналах, с учетом прокладки перспективных сетей.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Объемы переустройства инженерных сетей и устройства новых сетей, обеспечивающих, в том числе функционирование проектируемого объекта на последующий период эксплуатации, уточнить рабочей документацией, в соответствии с техническими условиями владельцев коммуникаций. Сбор технических условий выполнить силами </w:t>
            </w:r>
            <w:r w:rsidR="00175F5A">
              <w:rPr>
                <w:sz w:val="24"/>
                <w:szCs w:val="24"/>
                <w:vertAlign w:val="baseline"/>
              </w:rPr>
              <w:t>Проектировщика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Проектные решения по переустройству инженерных сетей (сооружений) согласовать с балансодержателем сети. Объемы переустройства сетей согласовать с Муниципальным заказчиком</w:t>
            </w:r>
            <w:r w:rsidR="00175F5A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B41F91" w:rsidRDefault="00175F5A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Проектировщик</w:t>
            </w:r>
            <w:r w:rsidR="00B41F91">
              <w:rPr>
                <w:sz w:val="24"/>
                <w:szCs w:val="24"/>
                <w:vertAlign w:val="baseline"/>
              </w:rPr>
              <w:t xml:space="preserve"> в счет цены контракта также выполняет и согласовывает акты выбора трасс инженерных сетей с правообладателями земельных участков и прочими заинтересованными лицами.</w:t>
            </w:r>
          </w:p>
          <w:p w:rsidR="00B41F91" w:rsidRDefault="00B41F91">
            <w:pPr>
              <w:spacing w:line="252" w:lineRule="auto"/>
              <w:rPr>
                <w:sz w:val="24"/>
                <w:szCs w:val="24"/>
                <w:vertAlign w:val="baseline"/>
              </w:rPr>
            </w:pP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lastRenderedPageBreak/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Требования по разработке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В соответствии 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baseline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vertAlign w:val="baseline"/>
              </w:rPr>
              <w:t>: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- Федеральным законом «Об энергосбережении и о повышении энергетической эффективности, и о внесении изменений в отдельные законодательные акты Российской Федерации» № 261-ФЗ от 23 ноября 2009 года.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- Законом Свердловской области об энергосбережении и повышении энергетической эффективности на территории Свердловской области от 25 декабря 2009 года № 117-ОЗ.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- Постановлением Правительства Российской Федерации от 16 февраля 2008 года № 87 «О составе разделов проектной документации и требования к их содержанию».</w:t>
            </w:r>
          </w:p>
          <w:p w:rsidR="00B41F91" w:rsidRDefault="00B41F91">
            <w:pPr>
              <w:rPr>
                <w:color w:val="000000" w:themeColor="text1"/>
                <w:sz w:val="22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Применить </w:t>
            </w:r>
            <w:proofErr w:type="spellStart"/>
            <w:r>
              <w:rPr>
                <w:color w:val="000000" w:themeColor="text1"/>
                <w:sz w:val="24"/>
                <w:szCs w:val="24"/>
                <w:vertAlign w:val="baseline"/>
              </w:rPr>
              <w:t>энергоэффективное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 освещение.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Состав разделов рабочей документации и требования по каждому разделу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Состав и содержание рабочей (проектной) документации должны соответствовать действующим требованиям законодательства РФ, постановлению Правительства Российской Федерации от 16 февраля 2008 года № 87, утвердившему «Положение о составе разделов проектной документации и требованиях к их содержанию»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Рабочая документация должна быть выполнена в объёме, необходимом для получения разрешения на строительство и ввода объекта в эксплуатацию.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Для всех возводимых сооружений и инженерных сетей разработать инструкции по эксплуатации.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При необходимости выполнить корректировку проекта, выполнив проектирование в границах красных линий.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Выполнить проекты временного электроснабжения.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Разработать в составе рабочей документации перечень актов на скрытые работы.</w:t>
            </w:r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Обеспечить подготовку графических материалов в стандартном удобочитаемом масштабе (1:500; 1:1000; 1:2000), отображающих проектные трассировки инженерных сетей, элементов благоустройства, красные линии и границы, смежных и подлежащих изъятию </w:t>
            </w:r>
            <w:r>
              <w:rPr>
                <w:color w:val="000000" w:themeColor="text1"/>
                <w:sz w:val="24"/>
                <w:szCs w:val="24"/>
                <w:vertAlign w:val="baseline"/>
              </w:rPr>
              <w:lastRenderedPageBreak/>
              <w:t>земельных участков, с указанием кадастрового номера земельного участка, реквизитов правообладателя и формы права (использовать сведения государственного кадастра недвижимости актуальностью, не превышающей трех месяцев).</w:t>
            </w:r>
            <w:proofErr w:type="gramEnd"/>
          </w:p>
          <w:p w:rsidR="00B41F91" w:rsidRDefault="00B41F91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При расчете продолжительности выполнения строительно-монтажных работ, связанных с устройством дорожной одежды, учесть климатические особенности района строительства и сезонный характер выполнения данных работы при среднесуточной температуре воздуха не ниже +5С°.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lastRenderedPageBreak/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Основные требования к согласованию рабочей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91" w:rsidRDefault="00175F5A">
            <w:pPr>
              <w:widowControl w:val="0"/>
              <w:rPr>
                <w:sz w:val="24"/>
                <w:szCs w:val="24"/>
                <w:vertAlign w:val="baseline"/>
              </w:rPr>
            </w:pPr>
            <w:proofErr w:type="gramStart"/>
            <w:r>
              <w:rPr>
                <w:sz w:val="24"/>
                <w:szCs w:val="24"/>
                <w:vertAlign w:val="baseline"/>
              </w:rPr>
              <w:t>Проектировщик</w:t>
            </w:r>
            <w:r w:rsidR="00B41F91">
              <w:rPr>
                <w:sz w:val="24"/>
                <w:szCs w:val="24"/>
                <w:vertAlign w:val="baseline"/>
              </w:rPr>
              <w:t xml:space="preserve"> самостоятельно обязан согласовать рабочую документацию с Комитетом благоустройства, Комитетом по транспорту, со всеми необходимыми структурными подразделениями Администрации Екатеринбурга,  ЕГООИК «Свободное движение», МУП «Водоканал», ОАО «ЕЭСК», ОАО «</w:t>
            </w:r>
            <w:proofErr w:type="spellStart"/>
            <w:r w:rsidR="00B41F91">
              <w:rPr>
                <w:sz w:val="24"/>
                <w:szCs w:val="24"/>
                <w:vertAlign w:val="baseline"/>
              </w:rPr>
              <w:t>Екатеринбурггаз</w:t>
            </w:r>
            <w:proofErr w:type="spellEnd"/>
            <w:r w:rsidR="00B41F91">
              <w:rPr>
                <w:sz w:val="24"/>
                <w:szCs w:val="24"/>
                <w:vertAlign w:val="baseline"/>
              </w:rPr>
              <w:t>», ООО «СТК», МУП «</w:t>
            </w:r>
            <w:proofErr w:type="spellStart"/>
            <w:r w:rsidR="00B41F91">
              <w:rPr>
                <w:sz w:val="24"/>
                <w:szCs w:val="24"/>
                <w:vertAlign w:val="baseline"/>
              </w:rPr>
              <w:t>Екатеринбургэнерго</w:t>
            </w:r>
            <w:proofErr w:type="spellEnd"/>
            <w:r w:rsidR="00B41F91">
              <w:rPr>
                <w:sz w:val="24"/>
                <w:szCs w:val="24"/>
                <w:vertAlign w:val="baseline"/>
              </w:rPr>
              <w:t>», ЕМУП «</w:t>
            </w:r>
            <w:proofErr w:type="spellStart"/>
            <w:r w:rsidR="00B41F91">
              <w:rPr>
                <w:sz w:val="24"/>
                <w:szCs w:val="24"/>
                <w:vertAlign w:val="baseline"/>
              </w:rPr>
              <w:t>Горсвет</w:t>
            </w:r>
            <w:proofErr w:type="spellEnd"/>
            <w:r w:rsidR="00B41F91">
              <w:rPr>
                <w:sz w:val="24"/>
                <w:szCs w:val="24"/>
                <w:vertAlign w:val="baseline"/>
              </w:rPr>
              <w:t>», МБУ «ВОИС», ОАО «Ростелеком»,  ОАО «МРСК», МБУ «ЦОД»,  ЗАО Фирма «</w:t>
            </w:r>
            <w:proofErr w:type="spellStart"/>
            <w:r w:rsidR="00B41F91">
              <w:rPr>
                <w:sz w:val="24"/>
                <w:szCs w:val="24"/>
                <w:vertAlign w:val="baseline"/>
              </w:rPr>
              <w:t>Связьмонтаж</w:t>
            </w:r>
            <w:proofErr w:type="spellEnd"/>
            <w:r w:rsidR="00B41F91">
              <w:rPr>
                <w:sz w:val="24"/>
                <w:szCs w:val="24"/>
                <w:vertAlign w:val="baseline"/>
              </w:rPr>
              <w:t>», ОАО «МРСК Урала» а также  с  иными лицами и организациями, необходимость согласования с которыми возникает</w:t>
            </w:r>
            <w:proofErr w:type="gramEnd"/>
            <w:r w:rsidR="00B41F91">
              <w:rPr>
                <w:sz w:val="24"/>
                <w:szCs w:val="24"/>
                <w:vertAlign w:val="baseline"/>
              </w:rPr>
              <w:t xml:space="preserve"> в процессе исполнения контракта</w:t>
            </w:r>
            <w:r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 w:rsidR="00B41F91">
              <w:rPr>
                <w:sz w:val="24"/>
                <w:szCs w:val="24"/>
                <w:vertAlign w:val="baseline"/>
              </w:rPr>
              <w:t>. Так же решения, принятые на стадии рабочего проектирования, должны быть согласованы с владельцами переустраиваемых инженерных сетей и с владельцами тех сетей, в охранной зоне которых размещаются переустраиваемые сети. Инженерные коммуникации, прокладываемые за границами красных линий участка строительства, должны быть согласованы с владельцами земельных участков, по территории которых прокладываются инженерные сети, должны быть составлены и утверждены в установленном порядке акты выбора трасс инженерных сетей.</w:t>
            </w:r>
          </w:p>
          <w:p w:rsidR="00B41F91" w:rsidRDefault="00B41F91">
            <w:pPr>
              <w:widowControl w:val="0"/>
              <w:rPr>
                <w:color w:val="FF0000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Разработанная рабочая документация может быть принята </w:t>
            </w:r>
            <w:r w:rsidR="00175F5A">
              <w:rPr>
                <w:sz w:val="24"/>
                <w:szCs w:val="24"/>
                <w:vertAlign w:val="baseline"/>
              </w:rPr>
              <w:t>Генеральным подрядчиком</w:t>
            </w:r>
            <w:r>
              <w:rPr>
                <w:sz w:val="24"/>
                <w:szCs w:val="24"/>
                <w:vertAlign w:val="baseline"/>
              </w:rPr>
              <w:t xml:space="preserve"> только после получения </w:t>
            </w:r>
            <w:r w:rsidR="00175F5A">
              <w:rPr>
                <w:sz w:val="24"/>
                <w:szCs w:val="24"/>
                <w:vertAlign w:val="baseline"/>
              </w:rPr>
              <w:t>Проектировщиком</w:t>
            </w:r>
            <w:r>
              <w:rPr>
                <w:sz w:val="24"/>
                <w:szCs w:val="24"/>
                <w:vertAlign w:val="baseline"/>
              </w:rPr>
              <w:t xml:space="preserve"> всех необходимых согласований.  </w:t>
            </w:r>
          </w:p>
          <w:p w:rsidR="00B41F91" w:rsidRDefault="00175F5A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Проектировщик</w:t>
            </w:r>
            <w:r w:rsidR="00B41F91">
              <w:rPr>
                <w:sz w:val="24"/>
                <w:szCs w:val="24"/>
                <w:vertAlign w:val="baseline"/>
              </w:rPr>
              <w:t xml:space="preserve"> без дополнительной оплаты принимает участие: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при рассмотрении проекта Муниципальным заказчиком. По требованию Муниципального заказчика</w:t>
            </w:r>
            <w:r w:rsidR="00175F5A">
              <w:rPr>
                <w:sz w:val="24"/>
                <w:szCs w:val="24"/>
                <w:vertAlign w:val="baseline"/>
              </w:rPr>
              <w:t>, либо Генерального подрядчика</w:t>
            </w:r>
            <w:r>
              <w:rPr>
                <w:sz w:val="24"/>
                <w:szCs w:val="24"/>
                <w:vertAlign w:val="baseline"/>
              </w:rPr>
              <w:t xml:space="preserve"> представляет пояснения, документы и обоснования;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совместно с Муниципальным заказчиком</w:t>
            </w:r>
            <w:r w:rsidR="00175F5A">
              <w:rPr>
                <w:sz w:val="24"/>
                <w:szCs w:val="24"/>
                <w:vertAlign w:val="baseline"/>
              </w:rPr>
              <w:t xml:space="preserve"> и Генеральным подрядчиком</w:t>
            </w:r>
            <w:r>
              <w:rPr>
                <w:sz w:val="24"/>
                <w:szCs w:val="24"/>
                <w:vertAlign w:val="baseline"/>
              </w:rPr>
              <w:t xml:space="preserve"> в согласовании с органами государственного надзора, а также с другими организациями в соответствии с действующим законодательством;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при рассмотрении проектной документации в органах государственной экспертизы;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в согласовании смет в КРУ Администрации г. Екатеринбурга.</w:t>
            </w:r>
          </w:p>
          <w:p w:rsidR="00B41F91" w:rsidRDefault="00B41F91">
            <w:pPr>
              <w:spacing w:line="264" w:lineRule="auto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Оригиналы согласований должны быть переданы </w:t>
            </w:r>
            <w:r>
              <w:rPr>
                <w:sz w:val="24"/>
                <w:szCs w:val="24"/>
                <w:vertAlign w:val="baseline"/>
              </w:rPr>
              <w:lastRenderedPageBreak/>
              <w:t>Муниципальному заказчику</w:t>
            </w:r>
            <w:r w:rsidR="00175F5A">
              <w:rPr>
                <w:sz w:val="24"/>
                <w:szCs w:val="24"/>
                <w:vertAlign w:val="baseline"/>
              </w:rPr>
              <w:t>, копии Генеральному подрядчику.</w:t>
            </w:r>
          </w:p>
          <w:p w:rsidR="00B41F91" w:rsidRDefault="00B41F91">
            <w:pPr>
              <w:spacing w:line="264" w:lineRule="auto"/>
              <w:rPr>
                <w:sz w:val="24"/>
                <w:szCs w:val="24"/>
                <w:vertAlign w:val="baseline"/>
              </w:rPr>
            </w:pPr>
          </w:p>
          <w:p w:rsidR="00B41F91" w:rsidRDefault="00B41F91">
            <w:pPr>
              <w:spacing w:line="264" w:lineRule="auto"/>
              <w:rPr>
                <w:sz w:val="24"/>
                <w:szCs w:val="24"/>
                <w:vertAlign w:val="baseline"/>
              </w:rPr>
            </w:pP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lastRenderedPageBreak/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Требования к выполнению рабочей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Разработку рабочей документации должна осуществлять организация, соответствующая требованиям действующего законодательства.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Технические решения, требующие отдельного согласования с Муниципальным заказчиком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1. Каждый узел пересечения велосипедных, пешеходных и автомобильных потоков (перекрестки, въезды во дворы, возле остановок общественного транспорта и т.п.) до детальной проработки должен быть прорисован в аксонометрической проекции и согласован с Муниципальным заказчиком</w:t>
            </w:r>
            <w:r w:rsidR="00175F5A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B41F91" w:rsidRDefault="00B41F91">
            <w:pPr>
              <w:ind w:right="3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 Каждый линейный узел – протяженностью более 20 метров – до детальной проработки должен быть прорисован в аксонометрической проекции и согласован с Муниципальным заказчиком</w:t>
            </w:r>
            <w:r w:rsidR="00175F5A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B41F91" w:rsidRDefault="00B41F91">
            <w:pPr>
              <w:ind w:right="3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3. Согласовать с Муниципальным заказчиком</w:t>
            </w:r>
            <w:r w:rsidR="00175F5A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 xml:space="preserve"> вид и высоту опор </w:t>
            </w:r>
            <w:proofErr w:type="gramStart"/>
            <w:r>
              <w:rPr>
                <w:sz w:val="24"/>
                <w:szCs w:val="24"/>
                <w:vertAlign w:val="baseline"/>
              </w:rPr>
              <w:t>освещения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с подбором имеющихся в наличии у поставщиков опор, с оценкой возможности их поставки в установленный Муниципальным заказчиком срок.</w:t>
            </w:r>
          </w:p>
          <w:p w:rsidR="00B41F91" w:rsidRDefault="00B41F91">
            <w:pPr>
              <w:ind w:right="3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4. В местах укладки тротуарной плитки, </w:t>
            </w:r>
            <w:proofErr w:type="spellStart"/>
            <w:r>
              <w:rPr>
                <w:sz w:val="24"/>
                <w:szCs w:val="24"/>
                <w:vertAlign w:val="baseline"/>
              </w:rPr>
              <w:t>бехатона</w:t>
            </w:r>
            <w:proofErr w:type="spellEnd"/>
            <w:r>
              <w:rPr>
                <w:sz w:val="24"/>
                <w:szCs w:val="24"/>
                <w:vertAlign w:val="baseline"/>
              </w:rPr>
              <w:t>, брусчатки и пр. проработать и согласовать с Муниципальным заказчиком рисунок мощения</w:t>
            </w:r>
            <w:r w:rsidR="00175F5A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5. Все остановки общественного транспорта, включая трамвайные до детальной проработки должны </w:t>
            </w:r>
            <w:proofErr w:type="gramStart"/>
            <w:r>
              <w:rPr>
                <w:sz w:val="24"/>
                <w:szCs w:val="24"/>
                <w:vertAlign w:val="baseline"/>
              </w:rPr>
              <w:t>быть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прорисованы в аксонометрической проекции и </w:t>
            </w:r>
            <w:r>
              <w:rPr>
                <w:color w:val="000000" w:themeColor="text1"/>
                <w:sz w:val="24"/>
                <w:szCs w:val="24"/>
                <w:vertAlign w:val="baseline"/>
              </w:rPr>
              <w:t>согласованы с Муниципальным заказчиком</w:t>
            </w:r>
            <w:r w:rsidR="00175F5A">
              <w:rPr>
                <w:color w:val="000000" w:themeColor="text1"/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Включая ограждение </w:t>
            </w:r>
            <w:r>
              <w:rPr>
                <w:sz w:val="24"/>
                <w:szCs w:val="24"/>
                <w:vertAlign w:val="baseline"/>
              </w:rPr>
              <w:t>остановок, их габариты, пути подходов и выходов, места размещения информационных табличек, вида скамеек, вида покрытия (асфальт, плитка) и т.п.</w:t>
            </w:r>
            <w:proofErr w:type="gramEnd"/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6. В рабочей документации дать предложения по размещению рекламных площадей (тумбы, скамейки, растяжки и пр.), согласовать объемы и места размещения с Муниципальным заказчиком</w:t>
            </w:r>
            <w:r w:rsidR="00175F5A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B41F91" w:rsidRDefault="00B41F91">
            <w:pPr>
              <w:ind w:right="3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7. </w:t>
            </w:r>
            <w:proofErr w:type="gramStart"/>
            <w:r>
              <w:rPr>
                <w:sz w:val="24"/>
                <w:szCs w:val="24"/>
                <w:vertAlign w:val="baseline"/>
              </w:rPr>
              <w:t>Согласовать с Муниципальным заказчиком малые формы, в том числе скамейки, урны, информационные таблички, ограничители въезда автомобилей, должны быть подобраны из имеющихся в продаже, с оценкой возможности их поставки в установленный Муниципальным заказчиком срок</w:t>
            </w:r>
            <w:r w:rsidR="00175F5A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 xml:space="preserve">. </w:t>
            </w:r>
            <w:proofErr w:type="gramEnd"/>
          </w:p>
          <w:p w:rsidR="00B41F91" w:rsidRDefault="00B41F91">
            <w:pPr>
              <w:ind w:right="3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8. Места парковки автомобилей выполнить в цвете отличном от цвета проезжей части, согласовать с Муниципальным заказчиком цвет покрытия</w:t>
            </w:r>
            <w:r w:rsidR="00175F5A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B41F91" w:rsidRDefault="00B41F91">
            <w:pPr>
              <w:ind w:right="3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lastRenderedPageBreak/>
              <w:t xml:space="preserve">9. Отделку наружных поверхностей опор и подпорных стен выполнить в технике многоцветного сграффито. Изображение согласовать с </w:t>
            </w:r>
            <w:r w:rsidR="00A02F25">
              <w:rPr>
                <w:sz w:val="24"/>
                <w:szCs w:val="24"/>
                <w:vertAlign w:val="baseline"/>
              </w:rPr>
              <w:t>Муниципальным Заказчиком,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10. Рабочей документацией предусмотреть антикоррозионное покрытие стальных опор освещения, стальных опоры контактной сети, стальных опоры светофорного регулирования, стальных опоры дорожных знаков, металлического (стального) ограждения посредством горячего </w:t>
            </w:r>
            <w:proofErr w:type="spellStart"/>
            <w:r>
              <w:rPr>
                <w:sz w:val="24"/>
                <w:szCs w:val="24"/>
                <w:vertAlign w:val="baseline"/>
              </w:rPr>
              <w:t>цинкования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с последующей порошковой покраской. </w:t>
            </w:r>
            <w:proofErr w:type="gramStart"/>
            <w:r>
              <w:rPr>
                <w:sz w:val="24"/>
                <w:szCs w:val="24"/>
                <w:vertAlign w:val="baseline"/>
              </w:rPr>
              <w:t>Цветовую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гаму согласовать с </w:t>
            </w:r>
            <w:r w:rsidR="00A02F25">
              <w:rPr>
                <w:sz w:val="24"/>
                <w:szCs w:val="24"/>
                <w:vertAlign w:val="baseline"/>
              </w:rPr>
              <w:t xml:space="preserve">Муниципальным </w:t>
            </w:r>
            <w:r>
              <w:rPr>
                <w:sz w:val="24"/>
                <w:szCs w:val="24"/>
                <w:vertAlign w:val="baseline"/>
              </w:rPr>
              <w:t>заказчиком</w:t>
            </w:r>
            <w:r w:rsidR="00A02F25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B41F91" w:rsidRDefault="00B41F91" w:rsidP="00A02F25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11. Для обеспечения плавности проезда по эстакаде проработать различные варианты деформационных швов, представить на согласование </w:t>
            </w:r>
            <w:r w:rsidR="00A02F25">
              <w:rPr>
                <w:sz w:val="24"/>
                <w:szCs w:val="24"/>
                <w:vertAlign w:val="baseline"/>
              </w:rPr>
              <w:t>Муниципальному з</w:t>
            </w:r>
            <w:r>
              <w:rPr>
                <w:sz w:val="24"/>
                <w:szCs w:val="24"/>
                <w:vertAlign w:val="baseline"/>
              </w:rPr>
              <w:t>аказчику</w:t>
            </w:r>
            <w:r w:rsidR="00A02F25">
              <w:rPr>
                <w:sz w:val="24"/>
                <w:szCs w:val="24"/>
                <w:vertAlign w:val="baseline"/>
              </w:rPr>
              <w:t>, с уведомлением Генерального подрядчика</w:t>
            </w:r>
            <w:r>
              <w:rPr>
                <w:sz w:val="24"/>
                <w:szCs w:val="24"/>
                <w:vertAlign w:val="baseline"/>
              </w:rPr>
              <w:t xml:space="preserve">. </w:t>
            </w:r>
          </w:p>
        </w:tc>
      </w:tr>
      <w:tr w:rsidR="00B41F91" w:rsidTr="00B41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8"/>
                <w:shd w:val="clear" w:color="auto" w:fill="FFFFFF"/>
                <w:vertAlign w:val="baseline"/>
              </w:rPr>
            </w:pPr>
            <w:r>
              <w:rPr>
                <w:sz w:val="24"/>
                <w:szCs w:val="28"/>
                <w:shd w:val="clear" w:color="auto" w:fill="FFFFFF"/>
                <w:vertAlign w:val="baseline"/>
                <w:lang w:val="en-US"/>
              </w:rPr>
              <w:lastRenderedPageBreak/>
              <w:t>2</w:t>
            </w:r>
            <w:r>
              <w:rPr>
                <w:sz w:val="24"/>
                <w:szCs w:val="28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Требования к срокам, количеству комплектов и порядку предоставления рабочей документации заказчику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91" w:rsidRDefault="00B41F91">
            <w:pPr>
              <w:ind w:right="3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Рабочая документация предоставляется </w:t>
            </w:r>
            <w:r w:rsidR="00A02F25">
              <w:rPr>
                <w:sz w:val="24"/>
                <w:szCs w:val="24"/>
                <w:vertAlign w:val="baseline"/>
              </w:rPr>
              <w:t>Генеральному подрядчику</w:t>
            </w:r>
            <w:r>
              <w:rPr>
                <w:sz w:val="24"/>
                <w:szCs w:val="24"/>
                <w:vertAlign w:val="baseline"/>
              </w:rPr>
              <w:t>:</w:t>
            </w:r>
          </w:p>
          <w:p w:rsidR="00B41F91" w:rsidRDefault="00B41F91">
            <w:pPr>
              <w:ind w:right="3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По окончанию проектирования </w:t>
            </w:r>
            <w:r w:rsidR="00A02F25">
              <w:rPr>
                <w:sz w:val="24"/>
                <w:szCs w:val="24"/>
                <w:vertAlign w:val="baseline"/>
              </w:rPr>
              <w:t>Генеральному подрядчику</w:t>
            </w:r>
            <w:r>
              <w:rPr>
                <w:sz w:val="24"/>
                <w:szCs w:val="24"/>
                <w:vertAlign w:val="baseline"/>
              </w:rPr>
              <w:t xml:space="preserve"> выдаются экземпляры рабочей документации со всеми внесёнными изменениями и согласованиями:</w:t>
            </w:r>
          </w:p>
          <w:p w:rsidR="00B41F91" w:rsidRDefault="00B41F91" w:rsidP="00BC4D68">
            <w:pPr>
              <w:numPr>
                <w:ilvl w:val="0"/>
                <w:numId w:val="2"/>
              </w:numPr>
              <w:spacing w:after="60"/>
              <w:ind w:left="212" w:right="34" w:hanging="212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на бумажном носителе – в 4 экз.;</w:t>
            </w:r>
          </w:p>
          <w:p w:rsidR="00B41F91" w:rsidRDefault="00B41F91">
            <w:pPr>
              <w:ind w:left="212" w:right="34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на электронном носителе в 2 экз. в формате </w:t>
            </w:r>
            <w:r>
              <w:rPr>
                <w:sz w:val="24"/>
                <w:szCs w:val="24"/>
                <w:vertAlign w:val="baseline"/>
                <w:lang w:val="en-US"/>
              </w:rPr>
              <w:t>word</w:t>
            </w:r>
            <w:r>
              <w:rPr>
                <w:sz w:val="24"/>
                <w:szCs w:val="24"/>
                <w:vertAlign w:val="baseline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baseline"/>
                <w:lang w:val="en-US"/>
              </w:rPr>
              <w:t>exel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baseline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и </w:t>
            </w:r>
            <w:proofErr w:type="spellStart"/>
            <w:r>
              <w:rPr>
                <w:sz w:val="24"/>
                <w:szCs w:val="24"/>
                <w:vertAlign w:val="baseline"/>
                <w:lang w:val="en-US"/>
              </w:rPr>
              <w:t>dwg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(структурная форма в соответствии с Приложением №6 к Контракту) с возможностью быстрого поиска. 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Демонстрационные материалы представить в отдельном прошитом альбоме на высококачественной ламинированной бумаге формата не менее А</w:t>
            </w:r>
            <w:proofErr w:type="gramStart"/>
            <w:r>
              <w:rPr>
                <w:sz w:val="24"/>
                <w:szCs w:val="24"/>
                <w:vertAlign w:val="baseline"/>
              </w:rPr>
              <w:t>4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(плотность - не менее 150 </w:t>
            </w:r>
            <w:proofErr w:type="spellStart"/>
            <w:r>
              <w:rPr>
                <w:sz w:val="24"/>
                <w:szCs w:val="24"/>
                <w:vertAlign w:val="baseline"/>
              </w:rPr>
              <w:t>гр</w:t>
            </w:r>
            <w:proofErr w:type="spellEnd"/>
            <w:r>
              <w:rPr>
                <w:sz w:val="24"/>
                <w:szCs w:val="24"/>
                <w:vertAlign w:val="baseline"/>
              </w:rPr>
              <w:t>/м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baseline"/>
              </w:rPr>
              <w:t>, тип - матовая).</w:t>
            </w:r>
          </w:p>
          <w:p w:rsidR="00B41F91" w:rsidRDefault="00B41F91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Все сметы на электронном носителе в формате </w:t>
            </w:r>
            <w:r>
              <w:rPr>
                <w:sz w:val="24"/>
                <w:szCs w:val="24"/>
                <w:vertAlign w:val="baseline"/>
                <w:lang w:val="en-US"/>
              </w:rPr>
              <w:t>MS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baseline"/>
              </w:rPr>
              <w:t>Excel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2007, в формате, совместимом с программным комплексом «Гранд-Смета». </w:t>
            </w:r>
          </w:p>
        </w:tc>
      </w:tr>
    </w:tbl>
    <w:p w:rsidR="00B41F91" w:rsidRDefault="00B41F91" w:rsidP="00B41F91">
      <w:pPr>
        <w:rPr>
          <w:sz w:val="24"/>
          <w:szCs w:val="24"/>
          <w:vertAlign w:val="baseline"/>
        </w:rPr>
      </w:pPr>
    </w:p>
    <w:sectPr w:rsidR="00B41F91" w:rsidSect="00B41F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7D1"/>
    <w:multiLevelType w:val="hybridMultilevel"/>
    <w:tmpl w:val="BBA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992"/>
    <w:multiLevelType w:val="hybridMultilevel"/>
    <w:tmpl w:val="CB46EDA6"/>
    <w:lvl w:ilvl="0" w:tplc="CEA88C74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1"/>
    <w:rsid w:val="00175F5A"/>
    <w:rsid w:val="00621ED0"/>
    <w:rsid w:val="007D369F"/>
    <w:rsid w:val="00A02F25"/>
    <w:rsid w:val="00B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B41F91"/>
    <w:rPr>
      <w:sz w:val="24"/>
    </w:rPr>
  </w:style>
  <w:style w:type="paragraph" w:styleId="a4">
    <w:name w:val="List Paragraph"/>
    <w:basedOn w:val="a"/>
    <w:link w:val="a3"/>
    <w:qFormat/>
    <w:rsid w:val="00B41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  <w:vertAlign w:val="baseline"/>
      <w:lang w:eastAsia="en-US"/>
    </w:rPr>
  </w:style>
  <w:style w:type="table" w:styleId="a5">
    <w:name w:val="Table Grid"/>
    <w:basedOn w:val="a1"/>
    <w:uiPriority w:val="39"/>
    <w:rsid w:val="00B41F9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B41F91"/>
    <w:rPr>
      <w:sz w:val="24"/>
    </w:rPr>
  </w:style>
  <w:style w:type="paragraph" w:styleId="a4">
    <w:name w:val="List Paragraph"/>
    <w:basedOn w:val="a"/>
    <w:link w:val="a3"/>
    <w:qFormat/>
    <w:rsid w:val="00B41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  <w:vertAlign w:val="baseline"/>
      <w:lang w:eastAsia="en-US"/>
    </w:rPr>
  </w:style>
  <w:style w:type="table" w:styleId="a5">
    <w:name w:val="Table Grid"/>
    <w:basedOn w:val="a1"/>
    <w:uiPriority w:val="39"/>
    <w:rsid w:val="00B41F9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Антонова</dc:creator>
  <cp:keywords/>
  <dc:description/>
  <cp:lastModifiedBy>Александра Антонова</cp:lastModifiedBy>
  <cp:revision>1</cp:revision>
  <dcterms:created xsi:type="dcterms:W3CDTF">2015-10-27T02:42:00Z</dcterms:created>
  <dcterms:modified xsi:type="dcterms:W3CDTF">2015-10-27T03:06:00Z</dcterms:modified>
</cp:coreProperties>
</file>